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054-26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23.07.2026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Sanierung Gymnasium - Rohbauarbeiten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Das städtische Gymnasium Kamen soll grundlegend energetisch saniert und erweitert werden. Die Bestandsgebäude werden insbesondere wärmedämmtechnisch durch die Erneuerung der Fassaden einschl. neuer Fenster
aufgewertet und der Innenbereich wird saniert.
Als erste Maßnahme wird hierzu ein Neubau als sogenannter Ringschluss für 9 Fachklassen hergestellt.
Hierzu gehören die in dieser Leistungsbeschreibung aufgeführten Leistungen.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